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63C" w:rsidRDefault="00785AEF">
      <w:pPr>
        <w:tabs>
          <w:tab w:val="left" w:pos="2187"/>
        </w:tabs>
        <w:rPr>
          <w:rFonts w:ascii="Cambria" w:eastAsia="Cambria" w:hAnsi="Cambria" w:cs="Cambria"/>
        </w:rPr>
      </w:pPr>
      <w:bookmarkStart w:id="0" w:name="_GoBack"/>
      <w:bookmarkEnd w:id="0"/>
      <w:r>
        <w:rPr>
          <w:rFonts w:ascii="Speak Pro" w:eastAsia="Speak Pro" w:hAnsi="Speak Pro" w:cs="Speak Pro"/>
        </w:rPr>
        <w:t xml:space="preserve">          </w:t>
      </w:r>
      <w:r>
        <w:rPr>
          <w:rFonts w:ascii="Cambria" w:eastAsia="Cambria" w:hAnsi="Cambria" w:cs="Cambria"/>
        </w:rPr>
        <w:t xml:space="preserve">                                           </w:t>
      </w:r>
    </w:p>
    <w:p w:rsidR="005E063C" w:rsidRDefault="00785AEF">
      <w:pPr>
        <w:tabs>
          <w:tab w:val="left" w:pos="2187"/>
        </w:tabs>
        <w:rPr>
          <w:rFonts w:ascii="Speak Pro" w:eastAsia="Speak Pro" w:hAnsi="Speak Pro" w:cs="Speak Pro"/>
          <w:b/>
        </w:rPr>
      </w:pPr>
      <w:r>
        <w:rPr>
          <w:rFonts w:ascii="Cambria" w:eastAsia="Cambria" w:hAnsi="Cambria" w:cs="Cambria"/>
        </w:rPr>
        <w:t xml:space="preserve">                                                                 </w:t>
      </w:r>
      <w:r>
        <w:rPr>
          <w:b/>
        </w:rPr>
        <w:t>ТЕХНИЧЕСКОЕ</w:t>
      </w:r>
      <w:r>
        <w:rPr>
          <w:rFonts w:ascii="Speak Pro" w:eastAsia="Speak Pro" w:hAnsi="Speak Pro" w:cs="Speak Pro"/>
          <w:b/>
        </w:rPr>
        <w:t xml:space="preserve"> </w:t>
      </w:r>
      <w:r>
        <w:rPr>
          <w:b/>
        </w:rPr>
        <w:t>ЗАДАНИЕ</w:t>
      </w:r>
    </w:p>
    <w:p w:rsidR="005E063C" w:rsidRDefault="005E063C">
      <w:pPr>
        <w:ind w:firstLine="567"/>
        <w:jc w:val="both"/>
      </w:pPr>
      <w:bookmarkStart w:id="1" w:name="_heading=h.gjdgxs" w:colFirst="0" w:colLast="0"/>
      <w:bookmarkEnd w:id="1"/>
    </w:p>
    <w:p w:rsidR="005E063C" w:rsidRDefault="00785AEF">
      <w:pPr>
        <w:ind w:firstLine="567"/>
        <w:jc w:val="both"/>
      </w:pPr>
      <w:r>
        <w:t>для</w:t>
      </w:r>
      <w:r>
        <w:rPr>
          <w:rFonts w:ascii="Speak Pro" w:eastAsia="Speak Pro" w:hAnsi="Speak Pro" w:cs="Speak Pro"/>
        </w:rPr>
        <w:t xml:space="preserve"> </w:t>
      </w:r>
      <w:r>
        <w:t>проведения</w:t>
      </w:r>
      <w:r>
        <w:rPr>
          <w:rFonts w:ascii="Speak Pro" w:eastAsia="Speak Pro" w:hAnsi="Speak Pro" w:cs="Speak Pro"/>
        </w:rPr>
        <w:t xml:space="preserve"> </w:t>
      </w:r>
      <w:r>
        <w:t>тендера</w:t>
      </w:r>
      <w:r>
        <w:rPr>
          <w:rFonts w:ascii="Speak Pro" w:eastAsia="Speak Pro" w:hAnsi="Speak Pro" w:cs="Speak Pro"/>
        </w:rPr>
        <w:t xml:space="preserve"> </w:t>
      </w:r>
      <w:r>
        <w:t>на выполнение работ по разработке котлована и обратной засыпке пазух котлована 1-я очередь строительства (корпуса 1.1, 1.2, 1.3, 1.4)</w:t>
      </w:r>
    </w:p>
    <w:p w:rsidR="005E063C" w:rsidRDefault="00785AEF">
      <w:pPr>
        <w:ind w:firstLine="567"/>
        <w:jc w:val="both"/>
      </w:pPr>
      <w:r>
        <w:t xml:space="preserve">по адресу: Московская область, </w:t>
      </w:r>
      <w:proofErr w:type="spellStart"/>
      <w:r>
        <w:t>г.о</w:t>
      </w:r>
      <w:proofErr w:type="spellEnd"/>
      <w:r>
        <w:t>. Мытищи, уч. Центральная усадьба</w:t>
      </w:r>
    </w:p>
    <w:p w:rsidR="005E063C" w:rsidRDefault="005E063C">
      <w:pPr>
        <w:ind w:firstLine="567"/>
        <w:jc w:val="both"/>
      </w:pPr>
    </w:p>
    <w:p w:rsidR="005E063C" w:rsidRDefault="005E063C">
      <w:pPr>
        <w:ind w:firstLine="567"/>
        <w:jc w:val="both"/>
        <w:rPr>
          <w:rFonts w:ascii="Cambria" w:eastAsia="Cambria" w:hAnsi="Cambria" w:cs="Cambria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"/>
        <w:gridCol w:w="1747"/>
        <w:gridCol w:w="7105"/>
      </w:tblGrid>
      <w:tr w:rsidR="005E063C">
        <w:tc>
          <w:tcPr>
            <w:tcW w:w="493" w:type="dxa"/>
            <w:vAlign w:val="center"/>
          </w:tcPr>
          <w:p w:rsidR="005E063C" w:rsidRDefault="00785AEF">
            <w:pPr>
              <w:tabs>
                <w:tab w:val="left" w:pos="2187"/>
              </w:tabs>
              <w:jc w:val="center"/>
              <w:rPr>
                <w:rFonts w:ascii="Speak Pro" w:eastAsia="Speak Pro" w:hAnsi="Speak Pro" w:cs="Speak Pro"/>
                <w:b/>
              </w:rPr>
            </w:pPr>
            <w:r>
              <w:rPr>
                <w:rFonts w:ascii="Arial" w:eastAsia="Arial" w:hAnsi="Arial" w:cs="Arial"/>
                <w:b/>
              </w:rPr>
              <w:t>№</w:t>
            </w:r>
          </w:p>
          <w:p w:rsidR="005E063C" w:rsidRDefault="00785AEF">
            <w:pPr>
              <w:tabs>
                <w:tab w:val="left" w:pos="2187"/>
              </w:tabs>
              <w:jc w:val="center"/>
              <w:rPr>
                <w:rFonts w:ascii="Speak Pro" w:eastAsia="Speak Pro" w:hAnsi="Speak Pro" w:cs="Speak Pro"/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1747" w:type="dxa"/>
            <w:vAlign w:val="center"/>
          </w:tcPr>
          <w:p w:rsidR="005E063C" w:rsidRDefault="00785AEF">
            <w:pPr>
              <w:tabs>
                <w:tab w:val="left" w:pos="2187"/>
              </w:tabs>
              <w:jc w:val="center"/>
              <w:rPr>
                <w:rFonts w:ascii="Speak Pro" w:eastAsia="Speak Pro" w:hAnsi="Speak Pro" w:cs="Speak Pro"/>
                <w:b/>
              </w:rPr>
            </w:pPr>
            <w:r>
              <w:rPr>
                <w:b/>
              </w:rPr>
              <w:t>Наименование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условий</w:t>
            </w:r>
          </w:p>
        </w:tc>
        <w:tc>
          <w:tcPr>
            <w:tcW w:w="7105" w:type="dxa"/>
            <w:vAlign w:val="center"/>
          </w:tcPr>
          <w:p w:rsidR="005E063C" w:rsidRDefault="00785AEF">
            <w:pPr>
              <w:tabs>
                <w:tab w:val="left" w:pos="2187"/>
              </w:tabs>
              <w:jc w:val="center"/>
              <w:rPr>
                <w:rFonts w:ascii="Speak Pro" w:eastAsia="Speak Pro" w:hAnsi="Speak Pro" w:cs="Speak Pro"/>
                <w:b/>
              </w:rPr>
            </w:pPr>
            <w:r>
              <w:rPr>
                <w:b/>
              </w:rPr>
              <w:t>Содержание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условий</w:t>
            </w:r>
          </w:p>
        </w:tc>
      </w:tr>
      <w:tr w:rsidR="005E063C">
        <w:trPr>
          <w:trHeight w:val="425"/>
        </w:trPr>
        <w:tc>
          <w:tcPr>
            <w:tcW w:w="493" w:type="dxa"/>
          </w:tcPr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1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Наи</w:t>
            </w:r>
            <w:r>
              <w:t>менование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объекта</w:t>
            </w:r>
          </w:p>
        </w:tc>
        <w:tc>
          <w:tcPr>
            <w:tcW w:w="7105" w:type="dxa"/>
          </w:tcPr>
          <w:p w:rsidR="005E063C" w:rsidRDefault="00785AEF">
            <w:pPr>
              <w:jc w:val="both"/>
            </w:pPr>
            <w:r>
              <w:t>Работы по разработке котлована и обратной засыпке пазух котлована корпуса 1.1, 1.2, 1.3, 1.4</w:t>
            </w:r>
          </w:p>
          <w:p w:rsidR="005E063C" w:rsidRDefault="00785AEF">
            <w:pPr>
              <w:jc w:val="both"/>
            </w:pPr>
            <w:r>
              <w:t xml:space="preserve">по адресу: Московская область, </w:t>
            </w:r>
            <w:proofErr w:type="spellStart"/>
            <w:r>
              <w:t>г.о</w:t>
            </w:r>
            <w:proofErr w:type="spellEnd"/>
            <w:r>
              <w:t>. Мытищи, уч. Центральная усадьба</w:t>
            </w:r>
          </w:p>
          <w:p w:rsidR="005E063C" w:rsidRDefault="005E063C">
            <w:pPr>
              <w:ind w:firstLine="567"/>
              <w:jc w:val="both"/>
            </w:pPr>
          </w:p>
          <w:p w:rsidR="005E063C" w:rsidRDefault="005E063C">
            <w:pPr>
              <w:jc w:val="both"/>
              <w:rPr>
                <w:rFonts w:ascii="Cambria" w:eastAsia="Cambria" w:hAnsi="Cambria" w:cs="Cambria"/>
              </w:rPr>
            </w:pP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2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Вид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строительства</w:t>
            </w:r>
          </w:p>
        </w:tc>
        <w:tc>
          <w:tcPr>
            <w:tcW w:w="7105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Новое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строительство</w:t>
            </w: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3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Место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расположения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объекта</w:t>
            </w:r>
          </w:p>
        </w:tc>
        <w:tc>
          <w:tcPr>
            <w:tcW w:w="7105" w:type="dxa"/>
          </w:tcPr>
          <w:p w:rsidR="005E063C" w:rsidRDefault="005E063C">
            <w:pPr>
              <w:ind w:firstLine="567"/>
              <w:jc w:val="both"/>
            </w:pPr>
          </w:p>
          <w:p w:rsidR="005E063C" w:rsidRDefault="00785AEF">
            <w:pPr>
              <w:jc w:val="both"/>
              <w:rPr>
                <w:rFonts w:ascii="Speak Pro" w:eastAsia="Speak Pro" w:hAnsi="Speak Pro" w:cs="Speak Pro"/>
              </w:rPr>
            </w:pPr>
            <w:r>
              <w:t xml:space="preserve">Московская область, </w:t>
            </w:r>
            <w:proofErr w:type="spellStart"/>
            <w:r>
              <w:t>г.о</w:t>
            </w:r>
            <w:proofErr w:type="spellEnd"/>
            <w:r>
              <w:t>. Мытищи, уч. Центральная усадьба</w:t>
            </w: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4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Заказчик</w:t>
            </w:r>
          </w:p>
        </w:tc>
        <w:tc>
          <w:tcPr>
            <w:tcW w:w="7105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ООО «ПИК-УК»</w:t>
            </w: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5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Основание</w:t>
            </w:r>
          </w:p>
        </w:tc>
        <w:tc>
          <w:tcPr>
            <w:tcW w:w="7105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Настоящее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техническое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задание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комплекты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предоставленные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Заказчиком</w:t>
            </w: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6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Сроки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</w:p>
        </w:tc>
        <w:tc>
          <w:tcPr>
            <w:tcW w:w="7105" w:type="dxa"/>
          </w:tcPr>
          <w:p w:rsidR="005E063C" w:rsidRDefault="00785AEF">
            <w:pPr>
              <w:tabs>
                <w:tab w:val="left" w:pos="2187"/>
              </w:tabs>
            </w:pPr>
            <w:r>
              <w:t>См. график выполнения работ (сроки выполнения работ могут быть смещены)</w:t>
            </w: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7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Комплект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предоставляемый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Заказчиком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претенденту</w:t>
            </w:r>
          </w:p>
        </w:tc>
        <w:tc>
          <w:tcPr>
            <w:tcW w:w="7105" w:type="dxa"/>
          </w:tcPr>
          <w:p w:rsidR="005E063C" w:rsidRDefault="00785A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</w:pPr>
            <w:r>
              <w:t>Настоящее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техническое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задание</w:t>
            </w:r>
          </w:p>
          <w:p w:rsidR="005E063C" w:rsidRDefault="00785A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t>Проектная документация (по ссылке) https://drive.google.com/drive/folders/1FPKDe9rjpoE142LN2BA8eXLs00Y31nGy?usp=sharing</w:t>
            </w:r>
          </w:p>
          <w:p w:rsidR="005E063C" w:rsidRDefault="00785AE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</w:pPr>
            <w:r>
              <w:t>Форма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ТКП</w:t>
            </w:r>
          </w:p>
        </w:tc>
      </w:tr>
      <w:tr w:rsidR="005E063C">
        <w:tc>
          <w:tcPr>
            <w:tcW w:w="493" w:type="dxa"/>
          </w:tcPr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8</w:t>
            </w:r>
          </w:p>
        </w:tc>
        <w:tc>
          <w:tcPr>
            <w:tcW w:w="1747" w:type="dxa"/>
          </w:tcPr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Задача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претендента</w:t>
            </w:r>
          </w:p>
        </w:tc>
        <w:tc>
          <w:tcPr>
            <w:tcW w:w="7105" w:type="dxa"/>
          </w:tcPr>
          <w:p w:rsidR="005E063C" w:rsidRDefault="00785AEF">
            <w:pPr>
              <w:jc w:val="both"/>
              <w:rPr>
                <w:rFonts w:ascii="Speak Pro" w:eastAsia="Speak Pro" w:hAnsi="Speak Pro" w:cs="Speak Pro"/>
              </w:rPr>
            </w:pPr>
            <w:r>
              <w:t>Разработать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коммерческое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предложение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 xml:space="preserve">работ по разработке котлована и обратной засыпке пазух котлована корпуса 1.1, 1.2, 1.3, 1.4 по адресу: Московская область, </w:t>
            </w:r>
            <w:proofErr w:type="spellStart"/>
            <w:r>
              <w:t>г.о</w:t>
            </w:r>
            <w:proofErr w:type="spellEnd"/>
            <w:r>
              <w:t>. Мытищи, уч. Центральная усадьба. 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соответствии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комплектом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предоставленной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Заказчиком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tabs>
                <w:tab w:val="left" w:pos="2187"/>
              </w:tabs>
            </w:pPr>
            <w:r>
              <w:t>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приложении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должны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быть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представлены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графики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финансирования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. </w:t>
            </w: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lastRenderedPageBreak/>
              <w:t>9.</w:t>
            </w: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Объемы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</w:p>
        </w:tc>
        <w:tc>
          <w:tcPr>
            <w:tcW w:w="7105" w:type="dxa"/>
          </w:tcPr>
          <w:p w:rsidR="005E063C" w:rsidRDefault="00785AEF">
            <w:pPr>
              <w:jc w:val="both"/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должен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выполнить работы по разработке котлована и обратной засыпке пазух котлована корпуса 1.1, 1.2, 1.3, 1.4</w:t>
            </w:r>
          </w:p>
          <w:p w:rsidR="005E063C" w:rsidRDefault="00785AEF">
            <w:pPr>
              <w:jc w:val="both"/>
              <w:rPr>
                <w:rFonts w:ascii="Cambria" w:eastAsia="Cambria" w:hAnsi="Cambria" w:cs="Cambria"/>
              </w:rPr>
            </w:pPr>
            <w:r>
              <w:t xml:space="preserve">по адресу: Московская область, </w:t>
            </w:r>
            <w:proofErr w:type="spellStart"/>
            <w:r>
              <w:t>г.о</w:t>
            </w:r>
            <w:proofErr w:type="spellEnd"/>
            <w:r>
              <w:t>. Мытищи, уч. Центральная ус</w:t>
            </w:r>
            <w:r>
              <w:t>адьба. Согласно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проектной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предусмотренной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пунктом</w:t>
            </w:r>
            <w:r>
              <w:rPr>
                <w:rFonts w:ascii="Speak Pro" w:eastAsia="Speak Pro" w:hAnsi="Speak Pro" w:cs="Speak Pro"/>
              </w:rPr>
              <w:t xml:space="preserve"> 7 </w:t>
            </w:r>
            <w:r>
              <w:t>настоящего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технического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задания</w:t>
            </w:r>
            <w:r>
              <w:rPr>
                <w:rFonts w:ascii="Speak Pro" w:eastAsia="Speak Pro" w:hAnsi="Speak Pro" w:cs="Speak Pro"/>
              </w:rPr>
              <w:t xml:space="preserve">. </w:t>
            </w:r>
          </w:p>
        </w:tc>
      </w:tr>
      <w:tr w:rsidR="005E063C">
        <w:tc>
          <w:tcPr>
            <w:tcW w:w="493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10.</w:t>
            </w: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</w:tc>
        <w:tc>
          <w:tcPr>
            <w:tcW w:w="1747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Требования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выполнению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5E063C">
            <w:pPr>
              <w:tabs>
                <w:tab w:val="left" w:pos="2187"/>
              </w:tabs>
              <w:ind w:left="110" w:firstLine="142"/>
              <w:rPr>
                <w:rFonts w:ascii="Speak Pro" w:eastAsia="Speak Pro" w:hAnsi="Speak Pro" w:cs="Speak Pro"/>
              </w:rPr>
            </w:pPr>
          </w:p>
        </w:tc>
        <w:tc>
          <w:tcPr>
            <w:tcW w:w="7105" w:type="dxa"/>
          </w:tcPr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Работы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вести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соответствии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действующими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нормами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правилами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принимает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себя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обязательства</w:t>
            </w:r>
            <w:r>
              <w:rPr>
                <w:rFonts w:ascii="Speak Pro" w:eastAsia="Speak Pro" w:hAnsi="Speak Pro" w:cs="Speak Pro"/>
              </w:rPr>
              <w:t>:</w:t>
            </w:r>
          </w:p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785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  <w:b/>
              </w:rPr>
            </w:pPr>
            <w:r>
              <w:rPr>
                <w:b/>
              </w:rPr>
              <w:t>В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подготовки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документации</w:t>
            </w:r>
            <w:r>
              <w:rPr>
                <w:rFonts w:ascii="Speak Pro" w:eastAsia="Speak Pro" w:hAnsi="Speak Pro" w:cs="Speak Pro"/>
                <w:b/>
              </w:rPr>
              <w:t xml:space="preserve">, </w:t>
            </w:r>
            <w:r>
              <w:rPr>
                <w:b/>
              </w:rPr>
              <w:t>получения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разрешений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согласований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производство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rFonts w:ascii="Speak Pro" w:eastAsia="Speak Pro" w:hAnsi="Speak Pro" w:cs="Speak Pro"/>
                <w:b/>
              </w:rPr>
              <w:t>: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самостоятельно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получить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для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производства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все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необходимые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допуски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разрешения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согласования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заинтересованными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организациями</w:t>
            </w:r>
            <w:r>
              <w:rPr>
                <w:rFonts w:ascii="Speak Pro" w:eastAsia="Speak Pro" w:hAnsi="Speak Pro" w:cs="Speak Pro"/>
              </w:rPr>
              <w:t>;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организовать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ведение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строго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соответствии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ППР</w:t>
            </w:r>
            <w:r>
              <w:rPr>
                <w:rFonts w:ascii="Speak Pro" w:eastAsia="Speak Pro" w:hAnsi="Speak Pro" w:cs="Speak Pro"/>
              </w:rPr>
              <w:t xml:space="preserve"> (</w:t>
            </w:r>
            <w:r>
              <w:t>ППР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перед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началом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производства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разработать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согласовать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Заказчиком</w:t>
            </w:r>
            <w:r>
              <w:rPr>
                <w:rFonts w:ascii="Cambria" w:eastAsia="Cambria" w:hAnsi="Cambria" w:cs="Cambria"/>
              </w:rPr>
              <w:t>)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предъявлять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все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виды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скрытых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ответственному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представителю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оформлением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актов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скрытые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работы</w:t>
            </w:r>
            <w:r>
              <w:rPr>
                <w:rFonts w:ascii="Speak Pro" w:eastAsia="Speak Pro" w:hAnsi="Speak Pro" w:cs="Speak Pro"/>
              </w:rPr>
              <w:t>;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самостоятельно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оплачивать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штрафы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контролирующих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организаций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случае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выявления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нарушений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производстве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также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устранять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эти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нарушения</w:t>
            </w:r>
            <w:r>
              <w:rPr>
                <w:rFonts w:ascii="Speak Pro" w:eastAsia="Speak Pro" w:hAnsi="Speak Pro" w:cs="Speak Pro"/>
              </w:rPr>
              <w:t>;</w:t>
            </w:r>
            <w:r>
              <w:rPr>
                <w:highlight w:val="white"/>
              </w:rPr>
              <w:t> </w:t>
            </w:r>
          </w:p>
          <w:p w:rsidR="005E063C" w:rsidRDefault="00785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  <w:b/>
              </w:rPr>
            </w:pPr>
            <w:r>
              <w:rPr>
                <w:b/>
              </w:rPr>
              <w:t>В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выполнения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rFonts w:ascii="Speak Pro" w:eastAsia="Speak Pro" w:hAnsi="Speak Pro" w:cs="Speak Pro"/>
                <w:b/>
              </w:rPr>
              <w:t>: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обеспечить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сохранность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существующих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инженерных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коммуникаций</w:t>
            </w:r>
            <w:r>
              <w:rPr>
                <w:rFonts w:ascii="Speak Pro" w:eastAsia="Speak Pro" w:hAnsi="Speak Pro" w:cs="Speak Pro"/>
              </w:rPr>
              <w:t>;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after="160" w:line="259" w:lineRule="auto"/>
              <w:rPr>
                <w:rFonts w:ascii="Speak Pro" w:eastAsia="Speak Pro" w:hAnsi="Speak Pro" w:cs="Speak Pro"/>
              </w:rPr>
            </w:pPr>
            <w:r>
              <w:t>обеспечить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точное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проектных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решений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соблюдение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проектных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уклонов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высотных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отметок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размеров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proofErr w:type="spellStart"/>
            <w:r>
              <w:t>соосностей</w:t>
            </w:r>
            <w:proofErr w:type="spellEnd"/>
            <w:r>
              <w:rPr>
                <w:rFonts w:ascii="Speak Pro" w:eastAsia="Speak Pro" w:hAnsi="Speak Pro" w:cs="Speak Pro"/>
              </w:rPr>
              <w:t xml:space="preserve">. </w:t>
            </w:r>
            <w:r>
              <w:t>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случае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допущения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ошибок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исправление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производится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подрядчиком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свой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счет</w:t>
            </w:r>
            <w:r>
              <w:rPr>
                <w:rFonts w:ascii="Speak Pro" w:eastAsia="Speak Pro" w:hAnsi="Speak Pro" w:cs="Speak Pro"/>
              </w:rPr>
              <w:t>;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after="160" w:line="259" w:lineRule="auto"/>
              <w:rPr>
                <w:rFonts w:ascii="Speak Pro" w:eastAsia="Speak Pro" w:hAnsi="Speak Pro" w:cs="Speak Pro"/>
              </w:rPr>
            </w:pPr>
            <w:r>
              <w:t xml:space="preserve"> В случае если временных дорог и площадок складирования, предусмотренных </w:t>
            </w:r>
            <w:proofErr w:type="spellStart"/>
            <w:r>
              <w:t>ПОСом</w:t>
            </w:r>
            <w:proofErr w:type="spellEnd"/>
            <w:r>
              <w:t xml:space="preserve"> недостаточно для производства работ, временные дороги подрядчик устраивает за свой счет.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after="160" w:line="259" w:lineRule="auto"/>
              <w:rPr>
                <w:rFonts w:ascii="Speak Pro" w:eastAsia="Speak Pro" w:hAnsi="Speak Pro" w:cs="Speak Pro"/>
              </w:rPr>
            </w:pPr>
            <w:r>
              <w:t xml:space="preserve"> Откачку воды из котлована на период производства работ по разработке котлована осуществ</w:t>
            </w:r>
            <w:r>
              <w:t>ляет подрядчик за свой счет.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after="160" w:line="259" w:lineRule="auto"/>
              <w:rPr>
                <w:rFonts w:ascii="Speak Pro" w:eastAsia="Speak Pro" w:hAnsi="Speak Pro" w:cs="Speak Pro"/>
              </w:rPr>
            </w:pPr>
            <w:r>
              <w:t>Ограждение котлована выполняется подрядчиком за свой счет.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after="160" w:line="259" w:lineRule="auto"/>
              <w:rPr>
                <w:rFonts w:ascii="Speak Pro" w:eastAsia="Speak Pro" w:hAnsi="Speak Pro" w:cs="Speak Pro"/>
              </w:rPr>
            </w:pPr>
            <w:r>
              <w:lastRenderedPageBreak/>
              <w:t xml:space="preserve"> Учесть при выполнении работ то что все штрафные санкции от полигона предусмотренные договором между техническим заказчиком и полигоном </w:t>
            </w:r>
            <w:proofErr w:type="gramStart"/>
            <w:r>
              <w:t>будут  выставляться</w:t>
            </w:r>
            <w:proofErr w:type="gramEnd"/>
            <w:r>
              <w:t xml:space="preserve"> подрядчику.</w:t>
            </w:r>
          </w:p>
          <w:p w:rsidR="005E063C" w:rsidRDefault="00785AEF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  <w:b/>
              </w:rPr>
            </w:pPr>
            <w:r>
              <w:rPr>
                <w:b/>
              </w:rPr>
              <w:t>В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части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соблюдения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требований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природоохранных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мер</w:t>
            </w:r>
            <w:r>
              <w:rPr>
                <w:rFonts w:ascii="Speak Pro" w:eastAsia="Speak Pro" w:hAnsi="Speak Pro" w:cs="Speak Pro"/>
                <w:b/>
              </w:rPr>
              <w:t xml:space="preserve">, </w:t>
            </w:r>
            <w:r>
              <w:rPr>
                <w:b/>
              </w:rPr>
              <w:t>норм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правил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пожарной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rFonts w:ascii="Speak Pro" w:eastAsia="Speak Pro" w:hAnsi="Speak Pro" w:cs="Speak Pro"/>
                <w:b/>
              </w:rPr>
              <w:t xml:space="preserve">, </w:t>
            </w:r>
            <w:r>
              <w:rPr>
                <w:b/>
              </w:rPr>
              <w:t>техники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безопасности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охраны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окружающей</w:t>
            </w:r>
            <w:r>
              <w:rPr>
                <w:rFonts w:ascii="Speak Pro" w:eastAsia="Speak Pro" w:hAnsi="Speak Pro" w:cs="Speak Pro"/>
                <w:b/>
              </w:rPr>
              <w:t xml:space="preserve"> </w:t>
            </w:r>
            <w:r>
              <w:rPr>
                <w:b/>
              </w:rPr>
              <w:t>среды</w:t>
            </w:r>
            <w:r>
              <w:rPr>
                <w:rFonts w:ascii="Speak Pro" w:eastAsia="Speak Pro" w:hAnsi="Speak Pro" w:cs="Speak Pro"/>
                <w:b/>
              </w:rPr>
              <w:t>: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обеспечить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соблюдения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норм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правил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пожарной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безопасности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техники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безопасности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охраны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окружающей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среды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объекте</w:t>
            </w:r>
            <w:r>
              <w:rPr>
                <w:rFonts w:ascii="Speak Pro" w:eastAsia="Speak Pro" w:hAnsi="Speak Pro" w:cs="Speak Pro"/>
              </w:rPr>
              <w:t>;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обеспечить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установку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всех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требуемых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ограждений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указателей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для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безопасности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работников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транспорта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период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строительства</w:t>
            </w:r>
            <w:r>
              <w:rPr>
                <w:rFonts w:ascii="Speak Pro" w:eastAsia="Speak Pro" w:hAnsi="Speak Pro" w:cs="Speak Pro"/>
              </w:rPr>
              <w:t>;</w:t>
            </w:r>
          </w:p>
          <w:p w:rsidR="005E063C" w:rsidRDefault="00785AEF">
            <w:pPr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after="160" w:line="259" w:lineRule="auto"/>
              <w:rPr>
                <w:rFonts w:ascii="Speak Pro" w:eastAsia="Speak Pro" w:hAnsi="Speak Pro" w:cs="Speak Pro"/>
              </w:rPr>
            </w:pPr>
            <w:r>
              <w:t>обеспечить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рабочих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единообразной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спецодеждой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СИЗ</w:t>
            </w:r>
            <w:r>
              <w:rPr>
                <w:rFonts w:ascii="Speak Pro" w:eastAsia="Speak Pro" w:hAnsi="Speak Pro" w:cs="Speak Pro"/>
              </w:rPr>
              <w:t>.</w:t>
            </w:r>
          </w:p>
        </w:tc>
      </w:tr>
      <w:tr w:rsidR="005E063C">
        <w:tc>
          <w:tcPr>
            <w:tcW w:w="493" w:type="dxa"/>
          </w:tcPr>
          <w:p w:rsidR="005E063C" w:rsidRDefault="005E063C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rPr>
                <w:rFonts w:ascii="Speak Pro" w:eastAsia="Speak Pro" w:hAnsi="Speak Pro" w:cs="Speak Pro"/>
              </w:rPr>
              <w:t>11.</w:t>
            </w:r>
          </w:p>
        </w:tc>
        <w:tc>
          <w:tcPr>
            <w:tcW w:w="1747" w:type="dxa"/>
          </w:tcPr>
          <w:p w:rsidR="005E063C" w:rsidRDefault="005E063C">
            <w:pPr>
              <w:tabs>
                <w:tab w:val="left" w:pos="2187"/>
              </w:tabs>
            </w:pPr>
          </w:p>
          <w:p w:rsidR="005E063C" w:rsidRDefault="00785AEF">
            <w:pPr>
              <w:tabs>
                <w:tab w:val="left" w:pos="2187"/>
              </w:tabs>
              <w:rPr>
                <w:rFonts w:ascii="Speak Pro" w:eastAsia="Speak Pro" w:hAnsi="Speak Pro" w:cs="Speak Pro"/>
              </w:rPr>
            </w:pPr>
            <w:r>
              <w:t>Требования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оформлению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сдачи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>.</w:t>
            </w:r>
          </w:p>
        </w:tc>
        <w:tc>
          <w:tcPr>
            <w:tcW w:w="7105" w:type="dxa"/>
          </w:tcPr>
          <w:p w:rsidR="005E063C" w:rsidRDefault="00785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Всю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нормативную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объекту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вести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соответствии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rPr>
                <w:rFonts w:ascii="Arial" w:eastAsia="Arial" w:hAnsi="Arial" w:cs="Arial"/>
                <w:sz w:val="21"/>
                <w:szCs w:val="21"/>
                <w:highlight w:val="white"/>
              </w:rPr>
              <w:t>СП 48.13330.2019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Постановлением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Правительства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г</w:t>
            </w:r>
            <w:r>
              <w:rPr>
                <w:rFonts w:ascii="Speak Pro" w:eastAsia="Speak Pro" w:hAnsi="Speak Pro" w:cs="Speak Pro"/>
              </w:rPr>
              <w:t xml:space="preserve">. </w:t>
            </w:r>
            <w:r>
              <w:t>Москвы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rPr>
                <w:rFonts w:ascii="Arial" w:eastAsia="Arial" w:hAnsi="Arial" w:cs="Arial"/>
              </w:rPr>
              <w:t>№</w:t>
            </w:r>
            <w:r>
              <w:rPr>
                <w:rFonts w:ascii="Speak Pro" w:eastAsia="Speak Pro" w:hAnsi="Speak Pro" w:cs="Speak Pro"/>
              </w:rPr>
              <w:t>857-</w:t>
            </w:r>
            <w:r>
              <w:t>ПП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от</w:t>
            </w:r>
            <w:r>
              <w:rPr>
                <w:rFonts w:ascii="Speak Pro" w:eastAsia="Speak Pro" w:hAnsi="Speak Pro" w:cs="Speak Pro"/>
              </w:rPr>
              <w:t xml:space="preserve"> 07.12.2004 </w:t>
            </w:r>
            <w:r>
              <w:t>г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разрабатывает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согласовывает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Заказчиком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Генеральным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подрядчиком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согласно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требованиям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технического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регламента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проект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производства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график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производства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предоставляет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приказ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ответственных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представителей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Генеральному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подрядчику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обеспечивает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сдачу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исполнительной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Заказчику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Генеральному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подрядчику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обеспечивает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сдачу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всего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комплекса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выполненных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работ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Заказчику</w:t>
            </w:r>
            <w:r>
              <w:rPr>
                <w:rFonts w:ascii="Speak Pro" w:eastAsia="Speak Pro" w:hAnsi="Speak Pro" w:cs="Speak Pro"/>
              </w:rPr>
              <w:t>.</w:t>
            </w:r>
          </w:p>
          <w:p w:rsidR="005E063C" w:rsidRDefault="00785AE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7"/>
              </w:tabs>
              <w:spacing w:line="259" w:lineRule="auto"/>
              <w:rPr>
                <w:rFonts w:ascii="Speak Pro" w:eastAsia="Speak Pro" w:hAnsi="Speak Pro" w:cs="Speak Pro"/>
              </w:rPr>
            </w:pPr>
            <w:r>
              <w:t>Подрядчик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обеспечивает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получение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необходимых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актов</w:t>
            </w:r>
            <w:r>
              <w:rPr>
                <w:rFonts w:ascii="Speak Pro" w:eastAsia="Speak Pro" w:hAnsi="Speak Pro" w:cs="Speak Pro"/>
              </w:rPr>
              <w:t>-</w:t>
            </w:r>
            <w:r>
              <w:t>допусков</w:t>
            </w:r>
            <w:r>
              <w:rPr>
                <w:rFonts w:ascii="Speak Pro" w:eastAsia="Speak Pro" w:hAnsi="Speak Pro" w:cs="Speak Pro"/>
              </w:rPr>
              <w:t xml:space="preserve">, </w:t>
            </w:r>
            <w:r>
              <w:t>технических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отчетов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иной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документации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по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требованию</w:t>
            </w:r>
            <w:r>
              <w:rPr>
                <w:rFonts w:ascii="Speak Pro" w:eastAsia="Speak Pro" w:hAnsi="Speak Pro" w:cs="Speak Pro"/>
              </w:rPr>
              <w:t xml:space="preserve"> </w:t>
            </w:r>
            <w:r>
              <w:t>Заказчика</w:t>
            </w:r>
            <w:r>
              <w:rPr>
                <w:rFonts w:ascii="Speak Pro" w:eastAsia="Speak Pro" w:hAnsi="Speak Pro" w:cs="Speak Pro"/>
              </w:rPr>
              <w:t>.</w:t>
            </w:r>
          </w:p>
        </w:tc>
      </w:tr>
    </w:tbl>
    <w:p w:rsidR="005E063C" w:rsidRDefault="005E063C">
      <w:pPr>
        <w:tabs>
          <w:tab w:val="left" w:pos="2187"/>
        </w:tabs>
        <w:rPr>
          <w:rFonts w:ascii="Speak Pro" w:eastAsia="Speak Pro" w:hAnsi="Speak Pro" w:cs="Speak Pro"/>
          <w:color w:val="000000"/>
        </w:rPr>
      </w:pPr>
    </w:p>
    <w:p w:rsidR="005E063C" w:rsidRDefault="005E063C">
      <w:pPr>
        <w:rPr>
          <w:rFonts w:ascii="Speak Pro" w:eastAsia="Speak Pro" w:hAnsi="Speak Pro" w:cs="Speak Pro"/>
          <w:color w:val="000000"/>
        </w:rPr>
      </w:pPr>
    </w:p>
    <w:p w:rsidR="005E063C" w:rsidRDefault="005E063C">
      <w:pPr>
        <w:rPr>
          <w:rFonts w:ascii="Speak Pro" w:eastAsia="Speak Pro" w:hAnsi="Speak Pro" w:cs="Speak Pro"/>
          <w:color w:val="000000"/>
        </w:rPr>
      </w:pPr>
    </w:p>
    <w:p w:rsidR="005E063C" w:rsidRDefault="005E063C">
      <w:pP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sectPr w:rsidR="005E063C">
      <w:headerReference w:type="default" r:id="rId8"/>
      <w:footerReference w:type="default" r:id="rId9"/>
      <w:headerReference w:type="first" r:id="rId10"/>
      <w:pgSz w:w="11900" w:h="16840"/>
      <w:pgMar w:top="0" w:right="1361" w:bottom="1418" w:left="1418" w:header="2041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AEF" w:rsidRDefault="00785AEF">
      <w:r>
        <w:separator/>
      </w:r>
    </w:p>
  </w:endnote>
  <w:endnote w:type="continuationSeparator" w:id="0">
    <w:p w:rsidR="00785AEF" w:rsidRDefault="0078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peak Pro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3C" w:rsidRDefault="00785A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AEF" w:rsidRDefault="00785AEF">
      <w:r>
        <w:separator/>
      </w:r>
    </w:p>
  </w:footnote>
  <w:footnote w:type="continuationSeparator" w:id="0">
    <w:p w:rsidR="00785AEF" w:rsidRDefault="00785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3C" w:rsidRDefault="00785A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2509200" cy="936000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09200" cy="93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63C" w:rsidRDefault="00785AE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4595" cy="1839595"/>
          <wp:effectExtent l="0" t="0" r="0" b="0"/>
          <wp:wrapTopAndBottom distT="0" dist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9038"/>
                  <a:stretch>
                    <a:fillRect/>
                  </a:stretch>
                </pic:blipFill>
                <pic:spPr>
                  <a:xfrm>
                    <a:off x="0" y="0"/>
                    <a:ext cx="7554595" cy="18395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3049A"/>
    <w:multiLevelType w:val="multilevel"/>
    <w:tmpl w:val="84DEA7E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1" w15:restartNumberingAfterBreak="0">
    <w:nsid w:val="1CDD0C64"/>
    <w:multiLevelType w:val="multilevel"/>
    <w:tmpl w:val="2A1CE19E"/>
    <w:lvl w:ilvl="0">
      <w:start w:val="1"/>
      <w:numFmt w:val="decimal"/>
      <w:lvlText w:val="%1."/>
      <w:lvlJc w:val="left"/>
      <w:pPr>
        <w:ind w:left="720" w:hanging="360"/>
      </w:pPr>
      <w:rPr>
        <w:rFonts w:ascii="Speak Pro" w:eastAsia="Speak Pro" w:hAnsi="Speak Pro" w:cs="Speak Pro"/>
        <w:b w:val="0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5563D"/>
    <w:multiLevelType w:val="multilevel"/>
    <w:tmpl w:val="73784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63C"/>
    <w:rsid w:val="005E063C"/>
    <w:rsid w:val="00785AEF"/>
    <w:rsid w:val="00E0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63496-EC52-4ECB-B55A-ABFD8856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1PlEPteFKa1U22KTO2peL4375w==">AMUW2mVDC4xrtlXas15lDR0YJM7w1LZu9Pv6N06nlQJjRdUfS/Le26vgIk7fUUNIXISYVusoYB9EnB9zVoFWVEVVcNEDAtM/0mhrSJiMCLVtfawbtEfLgDjoR/GrFW2B4E8gKRV0YHzP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Чернокалов Александр Валерьевич</dc:creator>
  <cp:lastModifiedBy>Маркина Анна Геннадьевна</cp:lastModifiedBy>
  <cp:revision>2</cp:revision>
  <dcterms:created xsi:type="dcterms:W3CDTF">2022-01-26T15:16:00Z</dcterms:created>
  <dcterms:modified xsi:type="dcterms:W3CDTF">2022-01-26T15:16:00Z</dcterms:modified>
</cp:coreProperties>
</file>